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8.jpg" ContentType="image/jpeg"/>
  <Override PartName="/word/media/rId26.jpg" ContentType="image/jpeg"/>
  <Override PartName="/word/media/rId32.jpg" ContentType="image/jpeg"/>
  <Override PartName="/word/media/rId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Remotely</w:t>
      </w:r>
      <w:r>
        <w:t xml:space="preserve"> </w:t>
      </w:r>
      <w:r>
        <w:t xml:space="preserve">sensing</w:t>
      </w:r>
      <w:r>
        <w:t xml:space="preserve"> </w:t>
      </w:r>
      <w:r>
        <w:t xml:space="preserve">river</w:t>
      </w:r>
      <w:r>
        <w:t xml:space="preserve"> </w:t>
      </w:r>
      <w:r>
        <w:t xml:space="preserve">greenhouse</w:t>
      </w:r>
      <w:r>
        <w:t xml:space="preserve"> </w:t>
      </w:r>
      <w:r>
        <w:t xml:space="preserve">gas</w:t>
      </w:r>
      <w:r>
        <w:t xml:space="preserve"> </w:t>
      </w:r>
      <w:r>
        <w:t xml:space="preserve">exchange</w:t>
      </w:r>
      <w:r>
        <w:t xml:space="preserve"> </w:t>
      </w:r>
      <w:r>
        <w:t xml:space="preserve">velocity</w:t>
      </w:r>
      <w:r>
        <w:t xml:space="preserve"> </w:t>
      </w:r>
      <w:r>
        <w:t xml:space="preserve">using</w:t>
      </w:r>
      <w:r>
        <w:t xml:space="preserve"> </w:t>
      </w:r>
      <w:r>
        <w:t xml:space="preserve">the</w:t>
      </w:r>
      <w:r>
        <w:t xml:space="preserve"> </w:t>
      </w:r>
      <w:r>
        <w:t xml:space="preserve">SWOT</w:t>
      </w:r>
      <w:r>
        <w:t xml:space="preserve"> </w:t>
      </w:r>
      <w:r>
        <w:t xml:space="preserve">satellite</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2" w:name="contents"/>
    <w:p>
      <w:pPr>
        <w:pStyle w:val="Heading2"/>
      </w:pPr>
      <w:r>
        <w:t xml:space="preserve">Contents</w:t>
      </w:r>
    </w:p>
    <w:p>
      <w:pPr>
        <w:pStyle w:val="FirstParagraph"/>
      </w:pPr>
      <w:r>
        <w:t xml:space="preserve">This supplementary information contains 3 texts, 4 figures and 3 tables. Please consult</w:t>
      </w:r>
      <w:r>
        <w:t xml:space="preserve"> </w:t>
      </w:r>
      <w:hyperlink r:id="rId21">
        <w:r>
          <w:rPr>
            <w:rStyle w:val="Hyperlink"/>
          </w:rPr>
          <w:t xml:space="preserve">https://github.com/craigbrinkerhoff/RSK600</w:t>
        </w:r>
      </w:hyperlink>
      <w:r>
        <w:t xml:space="preserve"> </w:t>
      </w:r>
      <w:r>
        <w:t xml:space="preserve">for all code to build and generate results, figures, and the manuscript.</w:t>
      </w:r>
    </w:p>
    <w:bookmarkEnd w:id="22"/>
    <w:bookmarkStart w:id="23" w:name="Xcd84e4a48da1aa6cdca0edf9f021a778f28c93d"/>
    <w:p>
      <w:pPr>
        <w:pStyle w:val="Heading2"/>
      </w:pPr>
      <w:r>
        <w:t xml:space="preserve">Test S1: Estimating how hydraulically wide SWOT rivers are</w:t>
      </w:r>
    </w:p>
    <w:p>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171,553 measurements and how we quantified what was</w:t>
      </w:r>
      <w:r>
        <w:t xml:space="preserve"> </w:t>
      </w:r>
      <w:r>
        <w:t xml:space="preserve">‘</w:t>
      </w:r>
      <w:r>
        <w:t xml:space="preserve">hydraulically wide.</w:t>
      </w:r>
      <w:r>
        <w:t xml:space="preserve">’</w:t>
      </w:r>
    </w:p>
    <w:p>
      <w:pPr>
        <w:pStyle w:val="BodyText"/>
      </w:pPr>
      <w:r>
        <w:t xml:space="preserve">First, we removed all measurements tagged by the USGS as</w:t>
      </w:r>
      <w:r>
        <w:t xml:space="preserve"> </w:t>
      </w:r>
      <w:r>
        <w:t xml:space="preserve">‘</w:t>
      </w:r>
      <w:r>
        <w:t xml:space="preserve">poor,</w:t>
      </w:r>
      <w:r>
        <w:t xml:space="preserve">’</w:t>
      </w:r>
      <w:r>
        <w:t xml:space="preserve"> </w:t>
      </w:r>
      <w:r>
        <w:t xml:space="preserve">measurements with impossible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 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3"/>
    <w:bookmarkStart w:id="24"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Note that</w:t>
      </w:r>
      <w:r>
        <w:t xml:space="preserve"> </w:t>
      </w:r>
      <m:oMath>
        <m:r>
          <m:t>α</m:t>
        </m:r>
      </m:oMath>
      <w:r>
        <w:t xml:space="preserve"> </w:t>
      </w:r>
      <w:r>
        <w:t xml:space="preserve">and</w:t>
      </w:r>
      <w:r>
        <w:t xml:space="preserve"> </w:t>
      </w:r>
      <m:oMath>
        <m:r>
          <m:t>β</m:t>
        </m:r>
      </m:oMath>
      <w:r>
        <w:t xml:space="preserve"> </w:t>
      </w:r>
      <w:r>
        <w:t xml:space="preserve">are statistical parameters obtained via least squares regression for the small-eddy and Reynolds models, respectively. Subscripts denote variants of the same parameter, depending on which</w:t>
      </w:r>
      <w:r>
        <w:t xml:space="preserve"> </w:t>
      </w:r>
      <m:oMath>
        <m:r>
          <m:t>ϵ</m:t>
        </m:r>
      </m:oMath>
      <w:r>
        <w:t xml:space="preserve"> </w:t>
      </w:r>
      <w:r>
        <w:t xml:space="preserve">model is employed.</w:t>
      </w:r>
    </w:p>
    <w:p>
      <w:pPr>
        <w:pStyle w:val="BodyText"/>
      </w:pPr>
      <w:r>
        <w:rPr>
          <w:bCs/>
          <w:b/>
        </w:rPr>
        <w:t xml:space="preserve">Small-eddy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r>
            <m:t>α</m:t>
          </m:r>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S</m:t>
              </m:r>
              <m:r>
                <m:rPr>
                  <m:sty m:val="b"/>
                </m:rPr>
                <m:t>5</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α</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S</m:t>
              </m:r>
              <m:r>
                <m:rPr>
                  <m:sty m:val="b"/>
                </m:rPr>
                <m:t>7</m:t>
              </m:r>
            </m:e>
          </m:d>
        </m:oMath>
      </m:oMathPara>
    </w:p>
    <w:p>
      <w:pPr>
        <w:pStyle w:val="FirstParagraph"/>
      </w:pPr>
      <w:r>
        <w:rPr>
          <w:bCs/>
          <w:b/>
        </w:rPr>
        <w:t xml:space="preserve">Reynolds extension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r>
            <m:t>β</m:t>
          </m:r>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S</m:t>
              </m:r>
              <m:r>
                <m:rPr>
                  <m:sty m:val="b"/>
                </m:rPr>
                <m:t>13</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S</m:t>
              </m:r>
              <m:r>
                <m:rPr>
                  <m:sty m:val="b"/>
                </m:rPr>
                <m:t>18</m:t>
              </m:r>
            </m:e>
          </m:d>
        </m:oMath>
      </m:oMathPara>
    </w:p>
    <w:bookmarkEnd w:id="24"/>
    <w:bookmarkStart w:id="25" w:name="text-s3-biker-hyperparameterization"/>
    <w:p>
      <w:pPr>
        <w:pStyle w:val="Heading2"/>
      </w:pPr>
      <w:r>
        <w:t xml:space="preserve">Text S3: BIKER hyperparameterization</w:t>
      </w:r>
    </w:p>
    <w:p>
      <w:pPr>
        <w:pStyle w:val="FirstParagraph"/>
      </w:pPr>
      <w:r>
        <w:t xml:space="preserve">In this text we explain in detail how BIKER’s prior distributions were set for each river.</w:t>
      </w:r>
    </w:p>
    <w:p>
      <w:pPr>
        <w:pStyle w:val="BodyText"/>
      </w:pPr>
      <w:r>
        <w:t xml:space="preserve">Prior distributions are defined by their hyperparameters. For BIKER, prior distriubtions are formalized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 It is important to again stress, as we do in the main text, that BIKER prior hyperparameters are described using only SWOT data to be completely globally implementanble. This is analogous to the</w:t>
      </w:r>
      <w:r>
        <w:t xml:space="preserve"> </w:t>
      </w:r>
      <w:r>
        <w:t xml:space="preserve">‘</w:t>
      </w:r>
      <w:r>
        <w:t xml:space="preserve">empirical Bayes method</w:t>
      </w:r>
      <w:r>
        <w:t xml:space="preserve">’</w:t>
      </w:r>
      <w:r>
        <w:t xml:space="preserve"> </w:t>
      </w:r>
      <w:r>
        <w:t xml:space="preserve">(Hoff, 2009)</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 an updated version of the method developed by</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machine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developed in section 3.2.3 of the main text using the data from</w:t>
      </w:r>
      <w:r>
        <w:t xml:space="preserve"> </w:t>
      </w:r>
      <w:r>
        <w:t xml:space="preserve">Brinkerhoff et al. (2019)</w:t>
      </w:r>
      <w:r>
        <w:t xml:space="preserve">. We replaced both depth and velocity terms from our gas exchange model (equation 6 in the main text) with these HG models, resulting in equation S19 where Q 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0.265</m:t>
                  </m:r>
                  <m:sSubSup>
                    <m:e>
                      <m:r>
                        <m:t>Q</m:t>
                      </m:r>
                    </m:e>
                    <m:sub>
                      <m:r>
                        <m:t>t</m:t>
                      </m:r>
                    </m:sub>
                    <m:sup>
                      <m:r>
                        <m:t>0.395</m:t>
                      </m:r>
                    </m:sup>
                  </m:sSubSup>
                </m:e>
              </m:d>
            </m:e>
            <m:sup>
              <m:r>
                <m:t>9</m:t>
              </m:r>
              <m:r>
                <m:rPr>
                  <m:sty m:val="p"/>
                </m:rPr>
                <m:t>/</m:t>
              </m:r>
              <m:r>
                <m:t>16</m:t>
              </m:r>
            </m:sup>
          </m:sSup>
          <m:r>
            <m:rPr>
              <m:sty m:val="p"/>
            </m:rPr>
            <m:t>*</m:t>
          </m:r>
          <m:sSup>
            <m:e>
              <m:d>
                <m:dPr>
                  <m:begChr m:val="("/>
                  <m:endChr m:val=")"/>
                  <m:sepChr m:val=""/>
                  <m:grow/>
                </m:dPr>
                <m:e>
                  <m:r>
                    <m:t>0.284</m:t>
                  </m:r>
                  <m:sSubSup>
                    <m:e>
                      <m:r>
                        <m:t>Q</m:t>
                      </m:r>
                    </m:e>
                    <m:sub>
                      <m:r>
                        <m:t>t</m:t>
                      </m:r>
                    </m:sub>
                    <m:sup>
                      <m:r>
                        <m:t>0.191</m:t>
                      </m:r>
                    </m:sup>
                  </m:sSubSup>
                </m:e>
              </m:d>
            </m:e>
            <m:sup>
              <m:r>
                <m:t>1</m:t>
              </m:r>
              <m:r>
                <m:rPr>
                  <m:sty m:val="p"/>
                </m:rPr>
                <m:t>/</m:t>
              </m:r>
              <m:r>
                <m:t>4</m:t>
              </m:r>
            </m:sup>
          </m:sSup>
          <m:d>
            <m:dPr>
              <m:begChr m:val="("/>
              <m:endChr m:val=")"/>
              <m:sepChr m:val=""/>
              <m:grow/>
            </m:dPr>
            <m:e>
              <m:r>
                <m:rPr>
                  <m:sty m:val="b"/>
                </m:rPr>
                <m:t>S</m:t>
              </m:r>
              <m:r>
                <m:rPr>
                  <m:sty m:val="b"/>
                </m:rPr>
                <m:t>19</m:t>
              </m:r>
            </m:e>
          </m:d>
        </m:oMath>
      </m:oMathPara>
    </w:p>
    <w:p>
      <w:pPr>
        <w:pStyle w:val="FirstParagraph"/>
      </w:pPr>
      <w:r>
        <w:t xml:space="preserve">Obviously, we have no a priori information about Q. So, we use the Q prior that will be globally available when SWOT launches: a mean annual estimate from a water balance model. This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This was recently shown on many of these rivers for SWOT discharge algorithms</w:t>
      </w:r>
      <w:r>
        <w:t xml:space="preserve"> </w:t>
      </w:r>
      <w:r>
        <w:t xml:space="preserve">(Frasson et al., 2021)</w:t>
      </w:r>
      <w:r>
        <w:t xml:space="preserve">. However as noted in the main text, our primary goal with this initial validation is to benchmark BIKER’s worst case scenario for performance and so we do that here.</w:t>
      </w:r>
    </w:p>
    <w:p>
      <w:pPr>
        <w:pStyle w:val="BodyText"/>
      </w:pPr>
      <m:oMath>
        <m:sSub>
          <m:e>
            <m:r>
              <m:t>k</m:t>
            </m:r>
          </m:e>
          <m:sub>
            <m:sSub>
              <m:e>
                <m:r>
                  <m:t>600</m:t>
                </m:r>
              </m:e>
              <m:sub>
                <m:r>
                  <m:t>σ</m:t>
                </m:r>
              </m:sub>
            </m:sSub>
          </m:sub>
        </m:sSub>
      </m:oMath>
      <w:r>
        <w:t xml:space="preserve"> </w:t>
      </w:r>
      <w:r>
        <w:t xml:space="preserve">is set to 0.30 (log-space). This corresponds to a coefficient of variation of approximately 0.30, which we took to reflect a reasonably strong agreement between the prior and the observed values.</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p>
      <w:pPr>
        <w:pStyle w:val="BodyText"/>
      </w:pPr>
      <w:r>
        <w:t xml:space="preserve">Finally, recall that</w:t>
      </w:r>
      <w:r>
        <w:t xml:space="preserve"> </w:t>
      </w:r>
      <m:oMath>
        <m:sSub>
          <m:e>
            <m:r>
              <m:t>σ</m:t>
            </m:r>
          </m:e>
          <m:sub>
            <m:sSub>
              <m:e>
                <m:r>
                  <m:t>k</m:t>
                </m:r>
              </m:e>
              <m:sub>
                <m:r>
                  <m:t>600</m:t>
                </m:r>
              </m:sub>
            </m:sSub>
          </m:sub>
        </m:sSub>
      </m:oMath>
      <w:r>
        <w:t xml:space="preserve"> </w:t>
      </w:r>
      <w:r>
        <w:t xml:space="preserve">refers to the total uncertainty inherent in equation 9, i.e. stemming from the Reynolds-extension model (equation 7) and Manning’s equation for</w:t>
      </w:r>
      <w:r>
        <w:t xml:space="preserve"> </w:t>
      </w:r>
      <m:oMath>
        <m:acc>
          <m:accPr>
            <m:chr m:val="‾"/>
          </m:accPr>
          <m:e>
            <m:r>
              <m:t>U</m:t>
            </m:r>
          </m:e>
        </m:acc>
      </m:oMath>
      <w:r>
        <w:t xml:space="preserve">. For the purposes of this study, we are validating BIKER against equation 7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 8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w:t>
      </w:r>
      <w:r>
        <w:t xml:space="preserve"> </w:t>
      </w:r>
      <m:oMath>
        <m:sSub>
          <m:e>
            <m:r>
              <m:t>k</m:t>
            </m:r>
          </m:e>
          <m:sub>
            <m:r>
              <m:t>600</m:t>
            </m:r>
          </m:sub>
        </m:sSub>
      </m:oMath>
      <w:r>
        <w:t xml:space="preserve"> </w:t>
      </w:r>
      <w:r>
        <w:t xml:space="preserve">relative uncertainty is expressed for some set of hydraulic observations as equation S20. We use the 166 hydraulically-wide measurements in our field-measured</w:t>
      </w:r>
      <w:r>
        <w:t xml:space="preserve"> </w:t>
      </w:r>
      <m:oMath>
        <m:sSub>
          <m:e>
            <m:r>
              <m:t>k</m:t>
            </m:r>
          </m:e>
          <m:sub>
            <m:r>
              <m:t>600</m:t>
            </m:r>
          </m:sub>
        </m:sSub>
      </m:oMath>
      <w:r>
        <w:t xml:space="preserve"> </w:t>
      </w:r>
      <w:r>
        <w:t xml:space="preserve">dataset and run 166 different Monte Carlo simulations (each 10,000 runs) to obtain 166 different</w:t>
      </w:r>
      <w:r>
        <w:t xml:space="preserve"> </w:t>
      </w:r>
      <m:oMath>
        <m:sSub>
          <m:e>
            <m:r>
              <m:t>σ</m:t>
            </m:r>
          </m:e>
          <m:sub>
            <m:sSub>
              <m:e>
                <m:r>
                  <m:t>k</m:t>
                </m:r>
              </m:e>
              <m:sub>
                <m:r>
                  <m:t>600</m:t>
                </m:r>
              </m:sub>
            </m:sSub>
          </m:sub>
        </m:sSub>
      </m:oMath>
      <w:r>
        <w:t xml:space="preserve"> </w:t>
      </w:r>
      <w:r>
        <w:t xml:space="preserve">terms. We then take the average of those to be a reasonable estimate of</w:t>
      </w:r>
      <w:r>
        <w:t xml:space="preserve"> </w:t>
      </w:r>
      <m:oMath>
        <m:sSub>
          <m:e>
            <m:r>
              <m:t>σ</m:t>
            </m:r>
          </m:e>
          <m:sub>
            <m:sSub>
              <m:e>
                <m:r>
                  <m:t>k</m:t>
                </m:r>
              </m:e>
              <m:sub>
                <m:r>
                  <m:t>600</m:t>
                </m:r>
              </m:sub>
            </m:sSub>
          </m:sub>
        </m:sSub>
      </m:oMath>
      <w:r>
        <w:t xml:space="preserve">. This ultimately provided a value of 1.1 for the log-transformed</w:t>
      </w:r>
      <w:r>
        <w:t xml:space="preserve"> </w:t>
      </w:r>
      <m:oMath>
        <m:sSub>
          <m:e>
            <m:r>
              <m:t>σ</m:t>
            </m:r>
          </m:e>
          <m:sub>
            <m:sSub>
              <m:e>
                <m:r>
                  <m:t>k</m:t>
                </m:r>
              </m:e>
              <m:sub>
                <m:r>
                  <m:t>600</m:t>
                </m:r>
              </m:sub>
            </m:sSub>
          </m:sub>
        </m:sSub>
      </m:oMath>
      <w:r>
        <w:t xml:space="preserve"> </w:t>
      </w:r>
      <w:r>
        <w:t xml:space="preserve">that should be used once SWOT launches.</w:t>
      </w:r>
    </w:p>
    <w:p>
      <w:pPr>
        <w:pStyle w:val="BodyText"/>
      </w:pPr>
      <m:oMathPara>
        <m:oMathParaPr>
          <m:jc m:val="center"/>
        </m:oMathParaPr>
        <m:oMath>
          <m:r>
            <m:t>l</m:t>
          </m:r>
          <m:r>
            <m:t>o</m:t>
          </m:r>
          <m:sSub>
            <m:e>
              <m:r>
                <m:t>g</m:t>
              </m:r>
            </m:e>
            <m:sub>
              <m:sSub>
                <m:e>
                  <m:r>
                    <m:t>k</m:t>
                  </m:r>
                </m:e>
                <m:sub>
                  <m:r>
                    <m:t>600</m:t>
                  </m:r>
                </m:sub>
              </m:sSub>
            </m:sub>
          </m:sSub>
          <m:r>
            <m:rPr>
              <m:sty m:val="p"/>
            </m:rPr>
            <m:t>∼</m:t>
          </m:r>
          <m:r>
            <m:t>n</m:t>
          </m:r>
          <m:r>
            <m:t>o</m:t>
          </m:r>
          <m:r>
            <m:t>r</m:t>
          </m:r>
          <m:r>
            <m:t>m</m:t>
          </m:r>
          <m:r>
            <m:t>a</m:t>
          </m:r>
          <m:r>
            <m:t>l</m:t>
          </m:r>
          <m:d>
            <m:dPr>
              <m:begChr m:val="["/>
              <m:endChr m:val="]"/>
              <m:sepChr m:val=""/>
              <m:grow/>
            </m:dPr>
            <m:e>
              <m:r>
                <m:t>l</m:t>
              </m:r>
              <m:r>
                <m:t>o</m:t>
              </m:r>
              <m:r>
                <m:t>g</m:t>
              </m:r>
              <m:d>
                <m:dPr>
                  <m:begChr m:val="("/>
                  <m:endChr m:val=")"/>
                  <m:sepChr m:val=""/>
                  <m:grow/>
                </m:dPr>
                <m:e>
                  <m:sSub>
                    <m:e>
                      <m:r>
                        <m:t>β</m:t>
                      </m:r>
                    </m:e>
                    <m:sub>
                      <m:r>
                        <m:t>1</m:t>
                      </m:r>
                    </m:sub>
                  </m:sSub>
                </m:e>
              </m:d>
              <m:r>
                <m:rPr>
                  <m:sty m:val="p"/>
                </m:rPr>
                <m:t>,</m:t>
              </m:r>
              <m:r>
                <m:t>l</m:t>
              </m:r>
              <m:r>
                <m:t>o</m:t>
              </m:r>
              <m:r>
                <m:t>g</m:t>
              </m:r>
              <m:d>
                <m:dPr>
                  <m:begChr m:val="("/>
                  <m:endChr m:val=")"/>
                  <m:sepChr m:val=""/>
                  <m:grow/>
                </m:dPr>
                <m:e>
                  <m:sSub>
                    <m:e>
                      <m:r>
                        <m:t>σ</m:t>
                      </m:r>
                    </m:e>
                    <m:sub>
                      <m:sSub>
                        <m:e>
                          <m:r>
                            <m:t>β</m:t>
                          </m:r>
                        </m:e>
                        <m:sub>
                          <m:r>
                            <m:t>1</m:t>
                          </m:r>
                        </m:sub>
                      </m:sSub>
                    </m:sub>
                  </m:sSub>
                </m:e>
              </m:d>
            </m:e>
          </m:d>
          <m:r>
            <m:rPr>
              <m:sty m:val="p"/>
            </m:rPr>
            <m:t>+</m:t>
          </m:r>
          <m:f>
            <m:fPr>
              <m:type m:val="bar"/>
            </m:fPr>
            <m:num>
              <m:r>
                <m:t>1</m:t>
              </m:r>
            </m:num>
            <m:den>
              <m:r>
                <m:t>4</m:t>
              </m:r>
            </m:den>
          </m:f>
          <m:r>
            <m:t>n</m:t>
          </m:r>
          <m:r>
            <m:t>o</m:t>
          </m:r>
          <m:r>
            <m:t>r</m:t>
          </m:r>
          <m:r>
            <m:t>m</m:t>
          </m:r>
          <m:r>
            <m:t>a</m:t>
          </m:r>
          <m:r>
            <m:t>l</m:t>
          </m:r>
          <m:d>
            <m:dPr>
              <m:begChr m:val="["/>
              <m:endChr m:val="]"/>
              <m:sepChr m:val=""/>
              <m:grow/>
            </m:dPr>
            <m:e>
              <m:r>
                <m:t>l</m:t>
              </m:r>
              <m:r>
                <m:t>o</m:t>
              </m:r>
              <m:r>
                <m:t>g</m:t>
              </m:r>
              <m:d>
                <m:dPr>
                  <m:begChr m:val="("/>
                  <m:endChr m:val=")"/>
                  <m:sepChr m:val=""/>
                  <m:grow/>
                </m:dPr>
                <m:e>
                  <m:acc>
                    <m:accPr>
                      <m:chr m:val="‾"/>
                    </m:accPr>
                    <m:e>
                      <m:r>
                        <m:t>U</m:t>
                      </m:r>
                    </m:e>
                  </m:acc>
                </m:e>
              </m:d>
              <m:r>
                <m:rPr>
                  <m:sty m:val="p"/>
                </m:rPr>
                <m:t>,</m:t>
              </m:r>
              <m:r>
                <m:t>l</m:t>
              </m:r>
              <m:r>
                <m:t>o</m:t>
              </m:r>
              <m:r>
                <m:t>g</m:t>
              </m:r>
              <m:d>
                <m:dPr>
                  <m:begChr m:val="("/>
                  <m:endChr m:val=")"/>
                  <m:sepChr m:val=""/>
                  <m:grow/>
                </m:dPr>
                <m:e>
                  <m:sSub>
                    <m:e>
                      <m:r>
                        <m:t>σ</m:t>
                      </m:r>
                    </m:e>
                    <m:sub>
                      <m:r>
                        <m:t>m</m:t>
                      </m:r>
                      <m:r>
                        <m:t>a</m:t>
                      </m:r>
                      <m:r>
                        <m:t>n</m:t>
                      </m:r>
                      <m:r>
                        <m:t>n</m:t>
                      </m:r>
                      <m:r>
                        <m:t>i</m:t>
                      </m:r>
                      <m:r>
                        <m:t>n</m:t>
                      </m:r>
                      <m:r>
                        <m:t>g</m:t>
                      </m:r>
                      <m:r>
                        <m:t>s</m:t>
                      </m:r>
                    </m:sub>
                  </m:sSub>
                </m:e>
              </m:d>
            </m:e>
          </m:d>
          <m:f>
            <m:fPr>
              <m:type m:val="bar"/>
            </m:fPr>
            <m:num>
              <m:r>
                <m:t>7</m:t>
              </m:r>
            </m:num>
            <m:den>
              <m:r>
                <m:t>16</m:t>
              </m:r>
            </m:den>
          </m:f>
          <m:r>
            <m:t>l</m:t>
          </m:r>
          <m:r>
            <m:t>o</m:t>
          </m:r>
          <m:r>
            <m:t>g</m:t>
          </m:r>
          <m:d>
            <m:dPr>
              <m:begChr m:val="("/>
              <m:endChr m:val=")"/>
              <m:sepChr m:val=""/>
              <m:grow/>
            </m:dPr>
            <m:e>
              <m:r>
                <m:t>g</m:t>
              </m:r>
              <m:r>
                <m:t>S</m:t>
              </m:r>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20</m:t>
              </m:r>
            </m:e>
          </m:d>
        </m:oMath>
      </m:oMathPara>
    </w:p>
    <w:bookmarkEnd w:id="25"/>
    <w:bookmarkStart w:id="27" w:name="figure-s1"/>
    <w:p>
      <w:pPr>
        <w:pStyle w:val="Heading2"/>
      </w:pPr>
      <w:r>
        <w:t xml:space="preserve">Figure S1</w:t>
      </w:r>
    </w:p>
    <w:p>
      <w:pPr>
        <w:pStyle w:val="CaptionedFigure"/>
      </w:pPr>
      <w:r>
        <w:drawing>
          <wp:inline>
            <wp:extent cx="3810000" cy="2540000"/>
            <wp:effectExtent b="0" l="0" r="0" t="0"/>
            <wp:docPr descr="Figure S1: Four k_{600}~hydraulics models tested in this study, with model assumptions noted in the sub-panel titles. Panel (d) is also presented in the main text as Figure 2." title="" id="1" name="Picture"/>
            <a:graphic>
              <a:graphicData uri="http://schemas.openxmlformats.org/drawingml/2006/picture">
                <pic:pic>
                  <pic:nvPicPr>
                    <pic:cNvPr descr="cache/k600_theory/k600Plot_SI.jp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S1: Four</w:t>
      </w:r>
      <w:r>
        <w:t xml:space="preserve"> </w:t>
      </w:r>
      <m:oMath>
        <m:sSub>
          <m:e>
            <m:r>
              <m:t>k</m:t>
            </m:r>
          </m:e>
          <m:sub>
            <m:r>
              <m:t>600</m:t>
            </m:r>
          </m:sub>
        </m:sSub>
      </m:oMath>
      <w:r>
        <w:t xml:space="preserve">~hydraulics models tested in this study, with model assumptions noted in the sub-panel titles. Panel (d) is also presented in the main text as Figure 2.</w:t>
      </w:r>
    </w:p>
    <w:bookmarkEnd w:id="27"/>
    <w:bookmarkStart w:id="29" w:name="figure-s2"/>
    <w:p>
      <w:pPr>
        <w:pStyle w:val="Heading2"/>
      </w:pPr>
      <w:r>
        <w:t xml:space="preserve">Figure S2</w:t>
      </w:r>
    </w:p>
    <w:p>
      <w:pPr>
        <w:pStyle w:val="CaptionedFigure"/>
      </w:pPr>
      <w:r>
        <w:drawing>
          <wp:inline>
            <wp:extent cx="3810000" cy="2540000"/>
            <wp:effectExtent b="0" l="0" r="0" t="0"/>
            <wp:docPr descr="Figure S2 Timeseries of the biweekly CO2 data from Beaulieu et al. (2012). Sampling took place 2008-2009 in the Ohio River (upstream of Cincinnati, Ohio, United States). Dashed black line denotes atmospheric CO2 at 400 uatm." title="" id="1" name="Picture"/>
            <a:graphic>
              <a:graphicData uri="http://schemas.openxmlformats.org/drawingml/2006/picture">
                <pic:pic>
                  <pic:nvPicPr>
                    <pic:cNvPr descr="cache/FCO2/Beaulieu_timeseries.jp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S2 Timeseries of the biweekly CO2 data from</w:t>
      </w:r>
      <w:r>
        <w:t xml:space="preserve"> </w:t>
      </w:r>
      <w:r>
        <w:t xml:space="preserve">Beaulieu et al. (2012)</w:t>
      </w:r>
      <w:r>
        <w:t xml:space="preserve">. Sampling took place 2008-2009 in the Ohio River (upstream of Cincinnati, Ohio, United States). Dashed black line denotes atmospheric CO2 at 400 uatm.</w:t>
      </w:r>
    </w:p>
    <w:bookmarkEnd w:id="29"/>
    <w:bookmarkStart w:id="31" w:name="figure-s3"/>
    <w:p>
      <w:pPr>
        <w:pStyle w:val="Heading2"/>
      </w:pPr>
      <w:r>
        <w:t xml:space="preserve">Figure S3</w:t>
      </w:r>
    </w:p>
    <w:p>
      <w:pPr>
        <w:pStyle w:val="CaptionedFigure"/>
      </w:pPr>
      <w:r>
        <w:drawing>
          <wp:inline>
            <wp:extent cx="3810000" cy="2540000"/>
            <wp:effectExtent b="0" l="0" r="0" t="0"/>
            <wp:docPr descr="Figure s3: Observed (orange) versus BIKER-inferred (green) timerseries of daily k_{600} for the 47 SWOT-simulated rivers with no additional SWOT errors. Note that the y axis is normalized by maximum observed values to compare across rivers." title="" id="1" name="Picture"/>
            <a:graphic>
              <a:graphicData uri="http://schemas.openxmlformats.org/drawingml/2006/picture">
                <pic:pic>
                  <pic:nvPicPr>
                    <pic:cNvPr descr="cache/validation/timeseries_noerr.jp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47 SWOT-simulated rivers with no additional SWOT errors. Note that the y axis is normalized by maximum observed values to compare across rivers.</w:t>
      </w:r>
    </w:p>
    <w:bookmarkEnd w:id="31"/>
    <w:bookmarkStart w:id="33" w:name="figure-s4"/>
    <w:p>
      <w:pPr>
        <w:pStyle w:val="Heading2"/>
      </w:pPr>
      <w:r>
        <w:t xml:space="preserve">Figure S4</w:t>
      </w:r>
    </w:p>
    <w:p>
      <w:pPr>
        <w:pStyle w:val="CaptionedFigure"/>
      </w:pPr>
      <w:r>
        <w:drawing>
          <wp:inline>
            <wp:extent cx="3810000" cy="2540000"/>
            <wp:effectExtent b="0" l="0" r="0" t="0"/>
            <wp:docPr descr="Figure s3: Observed (orange) versus BIKER-inferred (green) timerseries of daily k_{600} for the 16 SWOT-simulated rivers with the Frasson et al. (2021) error model. Note that the y axis is normalized by maximum observed values to compare across rivers." title="" id="1" name="Picture"/>
            <a:graphic>
              <a:graphicData uri="http://schemas.openxmlformats.org/drawingml/2006/picture">
                <pic:pic>
                  <pic:nvPicPr>
                    <pic:cNvPr descr="cache/validation/timeseries_err.jpg"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16 SWOT-simulated rivers with the Frasson et al. (2021) error model. Note that the y axis is normalized by maximum observed values to compare across rivers.</w:t>
      </w:r>
    </w:p>
    <w:bookmarkEnd w:id="33"/>
    <w:bookmarkStart w:id="34"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obtained. Any data wrangling was done by those authors.</w:t>
      </w:r>
      <w:r>
        <w:rPr>
          <w:iCs/>
          <w:i/>
        </w:rPr>
        <w:t xml:space="preserve"> </w:t>
      </w:r>
      <w:r>
        <w:rPr>
          <w:iCs/>
          <w:i/>
        </w:rPr>
        <w:t xml:space="preserve">‘</w:t>
      </w:r>
      <w:r>
        <w:rPr>
          <w:iCs/>
          <w:i/>
        </w:rPr>
        <w:t xml:space="preserve">Workers</w:t>
      </w:r>
      <w:r>
        <w:rPr>
          <w:iCs/>
          <w:i/>
        </w:rPr>
        <w:t xml:space="preserve">’</w:t>
      </w:r>
      <w:r>
        <w:rPr>
          <w:iCs/>
          <w:i/>
        </w:rPr>
        <w:t xml:space="preserve"> </w:t>
      </w:r>
      <w:r>
        <w:rPr>
          <w:iCs/>
          <w:i/>
        </w:rPr>
        <w:t xml:space="preserve">refers to who actually made the measurements. The Raymond et al. (2012) dataset is itself a meta-analysis. Please see that paper for how those measurements were collected, and see the</w:t>
      </w:r>
      <w:r>
        <w:rPr>
          <w:iCs/>
          <w:i/>
        </w:rPr>
        <w:t xml:space="preserve"> </w:t>
      </w:r>
      <w:r>
        <w:rPr>
          <w:iCs/>
          <w:i/>
        </w:rPr>
        <w:t xml:space="preserve">‘</w:t>
      </w:r>
      <w:r>
        <w:rPr>
          <w:iCs/>
          <w:i/>
        </w:rPr>
        <w:t xml:space="preserve">Additional Studies</w:t>
      </w:r>
      <w:r>
        <w:rPr>
          <w:iCs/>
          <w:i/>
        </w:rPr>
        <w:t xml:space="preserve">’</w:t>
      </w:r>
      <w:r>
        <w:rPr>
          <w:iCs/>
          <w:i/>
        </w:rPr>
        <w:t xml:space="preserve"> </w:t>
      </w:r>
      <w:r>
        <w:rPr>
          <w:iCs/>
          <w:i/>
        </w:rPr>
        <w:t xml:space="preserve">for the workers who actually collected the measurements.</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34"/>
    <w:bookmarkStart w:id="35"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 σ refers to the variance of the sample and μ refers to the mean of the sample. As is standard, a carrot accent indicates the predicted value.</w:t>
      </w:r>
    </w:p>
    <w:tbl>
      <w:tblPr>
        <w:tblStyle w:val="Table"/>
        <w:tblW w:type="pct" w:w="5000"/>
        <w:tblLook w:firstRow="1" w:lastRow="0" w:firstColumn="0" w:lastColumn="0" w:noHBand="0" w:noVBand="0" w:val="0020"/>
      </w:tblPr>
      <w:tblGrid>
        <w:gridCol w:w="1244"/>
        <w:gridCol w:w="792"/>
        <w:gridCol w:w="1131"/>
        <w:gridCol w:w="1244"/>
        <w:gridCol w:w="1584"/>
        <w:gridCol w:w="1923"/>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c>
          <w:tcPr/>
          <w:p>
            <w:pPr>
              <w:pStyle w:val="Compact"/>
              <w:jc w:val="left"/>
            </w:pPr>
            <w:r>
              <w:rPr>
                <w:bCs/>
                <w:b/>
              </w:rPr>
              <w:t xml:space="preserve">Validation Scheme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den>
                      </m:f>
                    </m:e>
                  </m:d>
                </m:e>
              </m:rad>
            </m:oMath>
          </w:p>
        </w:tc>
        <w:tc>
          <w:tcPr/>
          <w:p>
            <w:pPr>
              <w:pStyle w:val="Compact"/>
              <w:jc w:val="left"/>
            </w:pPr>
            <w:r>
              <w:t xml:space="preserve">1</w:t>
            </w:r>
          </w:p>
        </w:tc>
        <w:tc>
          <w:tcPr/>
          <w:p>
            <w:pPr>
              <w:pStyle w:val="Compact"/>
              <w:jc w:val="left"/>
            </w:pPr>
            <w:r>
              <w:t xml:space="preserve">-1 to 1</w:t>
            </w:r>
          </w:p>
        </w:tc>
        <w:tc>
          <w:tcPr/>
          <w:p>
            <w:pPr>
              <w:pStyle w:val="Compact"/>
              <w:jc w:val="left"/>
            </w:pPr>
            <w:r>
              <w:t xml:space="preserve">All rivers and all timesteps</w:t>
            </w:r>
          </w:p>
        </w:tc>
      </w:tr>
      <w:tr>
        <w:tc>
          <w:tcPr/>
          <w:p>
            <w:pPr>
              <w:pStyle w:val="Compact"/>
              <w:jc w:val="left"/>
            </w:pPr>
            <w:r>
              <w:t xml:space="preserve">Root-mean-square-error</w:t>
            </w:r>
          </w:p>
        </w:tc>
        <w:tc>
          <w:tcPr/>
          <w:p>
            <w:pPr>
              <w:pStyle w:val="Compact"/>
              <w:jc w:val="left"/>
            </w:pPr>
            <w:r>
              <w:t xml:space="preserve">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acc>
                                <m:accPr>
                                  <m:chr m:val="̂"/>
                                </m:accPr>
                                <m:e>
                                  <m:sSub>
                                    <m:e>
                                      <m:r>
                                        <m:t>k</m:t>
                                      </m:r>
                                    </m:e>
                                    <m:sub>
                                      <m:r>
                                        <m:t>600</m:t>
                                      </m:r>
                                      <m:r>
                                        <m:rPr>
                                          <m:sty m:val="p"/>
                                        </m:rPr>
                                        <m:t>,</m:t>
                                      </m:r>
                                      <m:r>
                                        <m:t>i</m:t>
                                      </m:r>
                                    </m:sub>
                                  </m:sSub>
                                </m:e>
                              </m:acc>
                              <m:r>
                                <m:rPr>
                                  <m:sty m:val="p"/>
                                </m:rPr>
                                <m:t>−</m:t>
                              </m:r>
                              <m:sSub>
                                <m:e>
                                  <m:r>
                                    <m:t>k</m:t>
                                  </m:r>
                                </m:e>
                                <m:sub>
                                  <m:r>
                                    <m:t>600</m:t>
                                  </m:r>
                                  <m:r>
                                    <m:rPr>
                                      <m:sty m:val="p"/>
                                    </m:rPr>
                                    <m:t>,</m:t>
                                  </m:r>
                                  <m:r>
                                    <m:t>i</m:t>
                                  </m:r>
                                </m:sub>
                              </m:sSub>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All rivers and all timesteps</w:t>
            </w:r>
          </w:p>
        </w:tc>
      </w:tr>
      <w:tr>
        <w:tc>
          <w:tcPr/>
          <w:p>
            <w:pPr>
              <w:pStyle w:val="Compact"/>
              <w:jc w:val="left"/>
            </w:pPr>
            <w:r>
              <w:t xml:space="preserve">Relative root-mean-square error</w:t>
            </w:r>
          </w:p>
        </w:tc>
        <w:tc>
          <w:tcPr/>
          <w:p>
            <w:pPr>
              <w:pStyle w:val="Compact"/>
              <w:jc w:val="left"/>
            </w:pPr>
            <w:r>
              <w:t xml:space="preserve">RRMSE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sSub>
                                    <m:e>
                                      <m:r>
                                        <m:t>k</m:t>
                                      </m:r>
                                    </m:e>
                                    <m:sub>
                                      <m:r>
                                        <m:t>600</m:t>
                                      </m:r>
                                      <m:r>
                                        <m:rPr>
                                          <m:sty m:val="p"/>
                                        </m:rPr>
                                        <m:t>,</m:t>
                                      </m:r>
                                      <m:r>
                                        <m:t>i</m:t>
                                      </m:r>
                                    </m:sub>
                                  </m:sSub>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Relative bias</w:t>
            </w:r>
          </w:p>
        </w:tc>
        <w:tc>
          <w:tcPr/>
          <w:p>
            <w:pPr>
              <w:pStyle w:val="Compact"/>
              <w:jc w:val="left"/>
            </w:pPr>
            <w:r>
              <w:t xml:space="preserve">rBIAS</w:t>
            </w:r>
          </w:p>
        </w:tc>
        <w:tc>
          <w:tcPr/>
          <w:p>
            <w:pPr>
              <w:pStyle w:val="Compact"/>
              <w:jc w:val="left"/>
            </w:pPr>
            <m:oMath>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nary>
            </m:oMath>
          </w:p>
        </w:tc>
        <w:tc>
          <w:tcPr/>
          <w:p>
            <w:pPr>
              <w:pStyle w:val="Compact"/>
              <w:jc w:val="left"/>
            </w:pPr>
            <w:r>
              <w:t xml:space="preserve">0</w:t>
            </w:r>
          </w:p>
        </w:tc>
        <w:tc>
          <w:tcPr/>
          <w:p>
            <w:pPr>
              <w:pStyle w:val="Compact"/>
              <w:jc w:val="left"/>
            </w:pPr>
            <w:r>
              <w:t xml:space="preserve">-∞ to ∞</w:t>
            </w:r>
          </w:p>
        </w:tc>
        <w:tc>
          <w:tcPr/>
          <w:p>
            <w:pPr>
              <w:pStyle w:val="Compact"/>
              <w:jc w:val="left"/>
            </w:pPr>
            <w:r>
              <w:t xml:space="preserve">By river</w:t>
            </w:r>
          </w:p>
        </w:tc>
      </w:tr>
    </w:tbl>
    <w:bookmarkEnd w:id="35"/>
    <w:bookmarkStart w:id="36" w:name="table-s3"/>
    <w:p>
      <w:pPr>
        <w:pStyle w:val="Heading2"/>
      </w:pPr>
      <w:r>
        <w:t xml:space="preserve">Table S3</w:t>
      </w:r>
    </w:p>
    <w:p>
      <w:pPr>
        <w:pStyle w:val="FirstParagraph"/>
      </w:pPr>
      <w:r>
        <w:rPr>
          <w:iCs/>
          <w:i/>
        </w:rPr>
        <w:t xml:space="preserve">Table S3: Details on the 3 depth hydraulic geometry models used to estimate FCO2 from the SWOT rivers (section 2.4).</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0.265</m:t>
              </m:r>
              <m:sSup>
                <m:e>
                  <m:r>
                    <m:t>Q</m:t>
                  </m:r>
                </m:e>
                <m:sup>
                  <m:r>
                    <m:t>0.395</m:t>
                  </m:r>
                </m:sup>
              </m:sSup>
            </m:oMath>
          </w:p>
        </w:tc>
        <w:tc>
          <w:tcPr/>
          <w:p>
            <w:pPr>
              <w:pStyle w:val="Compact"/>
              <w:jc w:val="left"/>
            </w:pPr>
            <m:oMath>
              <m:acc>
                <m:accPr>
                  <m:chr m:val="‾"/>
                </m:accPr>
                <m:e>
                  <m:r>
                    <m:t>U</m:t>
                  </m:r>
                </m:e>
              </m:acc>
              <m:r>
                <m:rPr>
                  <m:sty m:val="p"/>
                </m:rPr>
                <m:t>=</m:t>
              </m:r>
              <m:r>
                <m:t>0.284</m:t>
              </m:r>
              <m:sSup>
                <m:e>
                  <m:r>
                    <m:t>Q</m:t>
                  </m:r>
                </m:e>
                <m:sup>
                  <m:r>
                    <m:t>0.191</m:t>
                  </m:r>
                </m:sup>
              </m:sSup>
            </m:oMath>
          </w:p>
        </w:tc>
        <w:tc>
          <w:tcPr/>
          <w:p>
            <w:pPr>
              <w:pStyle w:val="Compact"/>
              <w:jc w:val="left"/>
            </w:pPr>
            <w:r>
              <w:t xml:space="preserve">530,945 measurements made across the United States at streamgauges</w:t>
            </w:r>
          </w:p>
        </w:tc>
        <w:tc>
          <w:tcPr/>
          <w:p>
            <w:pPr>
              <w:pStyle w:val="Compact"/>
              <w:jc w:val="left"/>
            </w:pPr>
            <w:r>
              <w:t xml:space="preserve">this study;</w:t>
            </w:r>
            <w:r>
              <w:t xml:space="preserve"> </w:t>
            </w: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pPr>
          </w:p>
        </w:tc>
        <w:tc>
          <w:tcPr/>
          <w:p>
            <w:pPr>
              <w:pStyle w:val="Compact"/>
              <w:jc w:val="left"/>
            </w:pPr>
            <w:r>
              <w:t xml:space="preserve">1,026 measurements across the United States</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36"/>
    <w:bookmarkStart w:id="77" w:name="references"/>
    <w:p>
      <w:pPr>
        <w:pStyle w:val="Heading2"/>
      </w:pPr>
      <w:r>
        <w:t xml:space="preserve">References</w:t>
      </w:r>
    </w:p>
    <w:bookmarkStart w:id="76" w:name="refs"/>
    <w:bookmarkStart w:id="38"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37">
        <w:r>
          <w:rPr>
            <w:rStyle w:val="Hyperlink"/>
          </w:rPr>
          <w:t xml:space="preserve">https://doi.org/10.1029/2011JG001794</w:t>
        </w:r>
      </w:hyperlink>
    </w:p>
    <w:bookmarkEnd w:id="38"/>
    <w:bookmarkStart w:id="40"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39">
        <w:r>
          <w:rPr>
            <w:rStyle w:val="Hyperlink"/>
          </w:rPr>
          <w:t xml:space="preserve">https://doi.org/10.1111/j.1365-2427.2010.02422.x</w:t>
        </w:r>
      </w:hyperlink>
    </w:p>
    <w:bookmarkEnd w:id="40"/>
    <w:bookmarkStart w:id="42"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 Mountains</w:t>
      </w:r>
      <w:r>
        <w:t xml:space="preserve"> </w:t>
      </w:r>
      <w:r>
        <w:t xml:space="preserve">(</w:t>
      </w:r>
      <w:r>
        <w:t xml:space="preserve">Delaware</w:t>
      </w:r>
      <w:r>
        <w:t xml:space="preserve"> </w:t>
      </w:r>
      <w:r>
        <w:t xml:space="preserve">and</w:t>
      </w:r>
      <w:r>
        <w:t xml:space="preserve"> </w:t>
      </w:r>
      <w:r>
        <w:t xml:space="preserve">Hudson River</w:t>
      </w:r>
      <w:r>
        <w:t xml:space="preserve"> </w:t>
      </w:r>
      <w:r>
        <w:t xml:space="preserve">watersheds) and</w:t>
      </w:r>
      <w:r>
        <w:t xml:space="preserve"> </w:t>
      </w:r>
      <w:r>
        <w:t xml:space="preserve">Lower Hudson 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41">
        <w:r>
          <w:rPr>
            <w:rStyle w:val="Hyperlink"/>
          </w:rPr>
          <w:t xml:space="preserve">https://doi.org/10.1899/0887-3593(2006)025[1018:EMISOT]2.0.CO;2</w:t>
        </w:r>
      </w:hyperlink>
    </w:p>
    <w:bookmarkEnd w:id="42"/>
    <w:bookmarkStart w:id="44"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 Streams</w:t>
      </w:r>
      <w:r>
        <w:t xml:space="preserve">:</w:t>
      </w:r>
      <w:r>
        <w:t xml:space="preserve"> </w:t>
      </w:r>
      <w:r>
        <w:t xml:space="preserve">Reach Geomorphology Modulates</w:t>
      </w:r>
      <w:r>
        <w:t xml:space="preserve"> </w:t>
      </w:r>
      <w:r>
        <w:t xml:space="preserve">the</w:t>
      </w:r>
      <w:r>
        <w:t xml:space="preserve"> </w:t>
      </w:r>
      <w:r>
        <w:t xml:space="preserve">Influence</w:t>
      </w:r>
      <w:r>
        <w:t xml:space="preserve"> </w:t>
      </w:r>
      <w:r>
        <w:t xml:space="preserve">of</w:t>
      </w:r>
      <w:r>
        <w:t xml:space="preserve"> </w:t>
      </w:r>
      <w:r>
        <w:t xml:space="preserve">Riparian 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43">
        <w:r>
          <w:rPr>
            <w:rStyle w:val="Hyperlink"/>
          </w:rPr>
          <w:t xml:space="preserve">https://doi.org/10.1007/s10021-005-0086-6</w:t>
        </w:r>
      </w:hyperlink>
    </w:p>
    <w:bookmarkEnd w:id="44"/>
    <w:bookmarkStart w:id="46"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45">
        <w:r>
          <w:rPr>
            <w:rStyle w:val="Hyperlink"/>
          </w:rPr>
          <w:t xml:space="preserve">https://doi.org/10.1029/2019GL084529</w:t>
        </w:r>
      </w:hyperlink>
    </w:p>
    <w:bookmarkEnd w:id="46"/>
    <w:bookmarkStart w:id="48"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47">
        <w:r>
          <w:rPr>
            <w:rStyle w:val="Hyperlink"/>
          </w:rPr>
          <w:t xml:space="preserve">https://doi.org/10.1029/2020WR027949</w:t>
        </w:r>
      </w:hyperlink>
    </w:p>
    <w:bookmarkEnd w:id="48"/>
    <w:bookmarkStart w:id="50"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49">
        <w:r>
          <w:rPr>
            <w:rStyle w:val="Hyperlink"/>
          </w:rPr>
          <w:t xml:space="preserve">https://doi.org/10.1016/B978-1-4832-8391-3.50015-4</w:t>
        </w:r>
      </w:hyperlink>
    </w:p>
    <w:bookmarkEnd w:id="50"/>
    <w:bookmarkStart w:id="52"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51">
        <w:r>
          <w:rPr>
            <w:rStyle w:val="Hyperlink"/>
          </w:rPr>
          <w:t xml:space="preserve">https://doi.org/10.1002/2015WR018434</w:t>
        </w:r>
      </w:hyperlink>
    </w:p>
    <w:bookmarkEnd w:id="52"/>
    <w:bookmarkStart w:id="54"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53">
        <w:r>
          <w:rPr>
            <w:rStyle w:val="Hyperlink"/>
          </w:rPr>
          <w:t xml:space="preserve">https://doi.org/10.1029/2020WR028519</w:t>
        </w:r>
      </w:hyperlink>
    </w:p>
    <w:bookmarkEnd w:id="54"/>
    <w:bookmarkStart w:id="56"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55">
        <w:r>
          <w:rPr>
            <w:rStyle w:val="Hyperlink"/>
          </w:rPr>
          <w:t xml:space="preserve">https://doi.org/10.1002/2017WR021626</w:t>
        </w:r>
      </w:hyperlink>
    </w:p>
    <w:bookmarkEnd w:id="56"/>
    <w:bookmarkStart w:id="58"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57">
        <w:r>
          <w:rPr>
            <w:rStyle w:val="Hyperlink"/>
          </w:rPr>
          <w:t xml:space="preserve">https://doi.org/10.5194/bg-15-3085-2018</w:t>
        </w:r>
      </w:hyperlink>
    </w:p>
    <w:bookmarkEnd w:id="58"/>
    <w:bookmarkStart w:id="59" w:name="ref-hoffFirstCourseBayesian2009"/>
    <w:p>
      <w:pPr>
        <w:pStyle w:val="Bibliography"/>
      </w:pPr>
      <w:r>
        <w:t xml:space="preserve">Hoff, P. D. (2009).</w:t>
      </w:r>
      <w:r>
        <w:t xml:space="preserve"> </w:t>
      </w:r>
      <w:r>
        <w:rPr>
          <w:iCs/>
          <w:i/>
        </w:rPr>
        <w:t xml:space="preserve">A</w:t>
      </w:r>
      <w:r>
        <w:rPr>
          <w:iCs/>
          <w:i/>
        </w:rPr>
        <w:t xml:space="preserve"> </w:t>
      </w:r>
      <w:r>
        <w:rPr>
          <w:iCs/>
          <w:i/>
        </w:rPr>
        <w:t xml:space="preserve">First Course</w:t>
      </w:r>
      <w:r>
        <w:rPr>
          <w:iCs/>
          <w:i/>
        </w:rPr>
        <w:t xml:space="preserve"> </w:t>
      </w:r>
      <w:r>
        <w:rPr>
          <w:iCs/>
          <w:i/>
        </w:rPr>
        <w:t xml:space="preserve">in</w:t>
      </w:r>
      <w:r>
        <w:rPr>
          <w:iCs/>
          <w:i/>
        </w:rPr>
        <w:t xml:space="preserve"> </w:t>
      </w:r>
      <w:r>
        <w:rPr>
          <w:iCs/>
          <w:i/>
        </w:rPr>
        <w:t xml:space="preserve">Bayesian Statistical Methods</w:t>
      </w:r>
      <w:r>
        <w:t xml:space="preserve">.</w:t>
      </w:r>
      <w:r>
        <w:t xml:space="preserve"> </w:t>
      </w:r>
      <w:r>
        <w:t xml:space="preserve">New York</w:t>
      </w:r>
      <w:r>
        <w:t xml:space="preserve">:</w:t>
      </w:r>
      <w:r>
        <w:t xml:space="preserve"> </w:t>
      </w:r>
      <w:r>
        <w:t xml:space="preserve">Springer</w:t>
      </w:r>
      <w:r>
        <w:t xml:space="preserve">.</w:t>
      </w:r>
    </w:p>
    <w:bookmarkEnd w:id="59"/>
    <w:bookmarkStart w:id="61"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 Article.</w:t>
      </w:r>
      <w:r>
        <w:t xml:space="preserve"> </w:t>
      </w:r>
      <w:hyperlink r:id="rId60">
        <w:r>
          <w:rPr>
            <w:rStyle w:val="Hyperlink"/>
          </w:rPr>
          <w:t xml:space="preserve">https://doi.org/10.1002/2017JG004045</w:t>
        </w:r>
      </w:hyperlink>
    </w:p>
    <w:bookmarkEnd w:id="61"/>
    <w:bookmarkStart w:id="63" w:name="Xbd965ffa066c0a000f9e9701eda052d7099b98f"/>
    <w:p>
      <w:pPr>
        <w:pStyle w:val="Bibliography"/>
      </w:pPr>
      <w:r>
        <w:t xml:space="preserve">Melching, C. S., &amp; Flores, H. E. (1999). Reaeration</w:t>
      </w:r>
      <w:r>
        <w:t xml:space="preserve"> </w:t>
      </w:r>
      <w:r>
        <w:t xml:space="preserve">Equations Derived</w:t>
      </w:r>
      <w:r>
        <w:t xml:space="preserve"> </w:t>
      </w:r>
      <w:r>
        <w:t xml:space="preserve">from</w:t>
      </w:r>
      <w:r>
        <w:t xml:space="preserve"> </w:t>
      </w:r>
      <w:r>
        <w:t xml:space="preserve">U</w:t>
      </w:r>
      <w:r>
        <w:t xml:space="preserve">.</w:t>
      </w:r>
      <w:r>
        <w:t xml:space="preserve">S</w:t>
      </w:r>
      <w:r>
        <w:t xml:space="preserve">.</w:t>
      </w:r>
      <w:r>
        <w:t xml:space="preserve"> </w:t>
      </w:r>
      <w:r>
        <w:t xml:space="preserve">Geological Survey 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62">
        <w:r>
          <w:rPr>
            <w:rStyle w:val="Hyperlink"/>
          </w:rPr>
          <w:t xml:space="preserve">https://doi.org/10.1061/(ASCE)0733-9372(1999)125:5(407)</w:t>
        </w:r>
      </w:hyperlink>
    </w:p>
    <w:bookmarkEnd w:id="63"/>
    <w:bookmarkStart w:id="65"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64">
        <w:r>
          <w:rPr>
            <w:rStyle w:val="Hyperlink"/>
          </w:rPr>
          <w:t xml:space="preserve">https://doi.org/10.1046/j.1365-2427.2001.00773.x</w:t>
        </w:r>
      </w:hyperlink>
    </w:p>
    <w:bookmarkEnd w:id="65"/>
    <w:bookmarkStart w:id="66"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66"/>
    <w:bookmarkStart w:id="68"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67">
        <w:r>
          <w:rPr>
            <w:rStyle w:val="Hyperlink"/>
          </w:rPr>
          <w:t xml:space="preserve">https://doi.org/10.1215/21573689-1597669@10.1002/(ISSN)1939-5590.MethaneVI</w:t>
        </w:r>
      </w:hyperlink>
    </w:p>
    <w:bookmarkEnd w:id="68"/>
    <w:bookmarkStart w:id="70"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69">
        <w:r>
          <w:rPr>
            <w:rStyle w:val="Hyperlink"/>
          </w:rPr>
          <w:t xml:space="preserve">https://doi.org/10.1038/nature12760</w:t>
        </w:r>
      </w:hyperlink>
    </w:p>
    <w:bookmarkEnd w:id="70"/>
    <w:bookmarkStart w:id="72"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w:t>
      </w:r>
      <w:r>
        <w:t xml:space="preserve"> </w:t>
      </w:r>
      <w:hyperlink r:id="rId71">
        <w:r>
          <w:rPr>
            <w:rStyle w:val="Hyperlink"/>
          </w:rPr>
          <w:t xml:space="preserve">https://doi.org/10.1002/lno.10339</w:t>
        </w:r>
      </w:hyperlink>
    </w:p>
    <w:bookmarkEnd w:id="72"/>
    <w:bookmarkStart w:id="73"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 Reaeration Capacity</w:t>
      </w:r>
      <w:r>
        <w:t xml:space="preserve">.</w:t>
      </w:r>
      <w:r>
        <w:t xml:space="preserve"> </w:t>
      </w:r>
      <w:r>
        <w:t xml:space="preserve">U.S. Government Printing Office</w:t>
      </w:r>
      <w:r>
        <w:t xml:space="preserve">.</w:t>
      </w:r>
    </w:p>
    <w:bookmarkEnd w:id="73"/>
    <w:bookmarkStart w:id="75"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74">
        <w:r>
          <w:rPr>
            <w:rStyle w:val="Hyperlink"/>
          </w:rPr>
          <w:t xml:space="preserve">https://doi.org/10.1038/s41561-019-0324-8</w:t>
        </w:r>
      </w:hyperlink>
    </w:p>
    <w:bookmarkEnd w:id="75"/>
    <w:bookmarkEnd w:id="76"/>
    <w:bookmarkEnd w:id="77"/>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8" Target="media/rId28.jpg" /><Relationship Type="http://schemas.openxmlformats.org/officeDocument/2006/relationships/image" Id="rId26" Target="media/rId26.jpg" /><Relationship Type="http://schemas.openxmlformats.org/officeDocument/2006/relationships/image" Id="rId32" Target="media/rId32.jpg" /><Relationship Type="http://schemas.openxmlformats.org/officeDocument/2006/relationships/image" Id="rId30" Target="media/rId30.jpg" /><Relationship Type="http://schemas.openxmlformats.org/officeDocument/2006/relationships/hyperlink" Id="rId51"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5"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3" Target="https://doi.org/10.1007/s10021-005-0086-6" TargetMode="External" /><Relationship Type="http://schemas.openxmlformats.org/officeDocument/2006/relationships/hyperlink" Id="rId49" Target="https://doi.org/10.1016/B978-1-4832-8391-3.50015-4" TargetMode="External" /><Relationship Type="http://schemas.openxmlformats.org/officeDocument/2006/relationships/hyperlink" Id="rId37" Target="https://doi.org/10.1029/2011JG001794" TargetMode="External" /><Relationship Type="http://schemas.openxmlformats.org/officeDocument/2006/relationships/hyperlink" Id="rId45" Target="https://doi.org/10.1029/2019GL084529" TargetMode="External" /><Relationship Type="http://schemas.openxmlformats.org/officeDocument/2006/relationships/hyperlink" Id="rId47" Target="https://doi.org/10.1029/2020WR027949" TargetMode="External" /><Relationship Type="http://schemas.openxmlformats.org/officeDocument/2006/relationships/hyperlink" Id="rId53"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39"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1" Target="https://doi.org/10.1899/0887-3593(2006)025[1018:EMISOT]2.0.CO;2" TargetMode="External" /><Relationship Type="http://schemas.openxmlformats.org/officeDocument/2006/relationships/hyperlink" Id="rId57"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51"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5"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3" Target="https://doi.org/10.1007/s10021-005-0086-6" TargetMode="External" /><Relationship Type="http://schemas.openxmlformats.org/officeDocument/2006/relationships/hyperlink" Id="rId49" Target="https://doi.org/10.1016/B978-1-4832-8391-3.50015-4" TargetMode="External" /><Relationship Type="http://schemas.openxmlformats.org/officeDocument/2006/relationships/hyperlink" Id="rId37" Target="https://doi.org/10.1029/2011JG001794" TargetMode="External" /><Relationship Type="http://schemas.openxmlformats.org/officeDocument/2006/relationships/hyperlink" Id="rId45" Target="https://doi.org/10.1029/2019GL084529" TargetMode="External" /><Relationship Type="http://schemas.openxmlformats.org/officeDocument/2006/relationships/hyperlink" Id="rId47" Target="https://doi.org/10.1029/2020WR027949" TargetMode="External" /><Relationship Type="http://schemas.openxmlformats.org/officeDocument/2006/relationships/hyperlink" Id="rId53"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39"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1" Target="https://doi.org/10.1899/0887-3593(2006)025[1018:EMISOT]2.0.CO;2" TargetMode="External" /><Relationship Type="http://schemas.openxmlformats.org/officeDocument/2006/relationships/hyperlink" Id="rId57"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 Brinkerhoff1,*, Colin J Gleason1, Christopher J Zappa2, Peter A Raymond3, and Merritt H Harlan1</dc:creator>
  <cp:keywords/>
  <dcterms:created xsi:type="dcterms:W3CDTF">2022-02-08T20:55:50Z</dcterms:created>
  <dcterms:modified xsi:type="dcterms:W3CDTF">2022-02-08T20:55:50Z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